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2020/74 vom 16. September 2021</w:t>
      </w:r>
    </w:p>
    <w:p>
      <w:r>
        <w:t>Sg Versicherungsgericht, 2021-09-16, DE</w:t>
      </w:r>
    </w:p>
    <w:p>
      <w:r>
        <w:rPr>
          <w:b/>
        </w:rPr>
        <w:t xml:space="preserve">Quelle: </w:t>
      </w:r>
      <w:r>
        <w:t>https://mcp.opencaselaw.ch/entscheid/sg_publikationen_IV 2020_74</w:t>
      </w:r>
    </w:p>
    <w:p>
      <w:r>
        <w:t>FR: SG_VERSICHERUNGSGERICHT IV 2020/74 du 16 septembre 2021</w:t>
      </w:r>
    </w:p>
    <w:p>
      <w:r>
        <w:t>IT: SG_VERSICHERUNGSGERICHT IV 2020/74 del 16 settembre 2021</w:t>
      </w:r>
    </w:p>
    <w:p>
      <w:pPr>
        <w:pStyle w:val="Heading2"/>
      </w:pPr>
      <w:r>
        <w:t>Regeste</w:t>
      </w:r>
    </w:p>
    <w:p>
      <w:r>
        <w:t>Art. 28 IVG. Art. 16 ATSG. Würdigung eines RAD-Abklärungsberichts. Einkommensvergleich. Zuschlag zum Tabellenlohn infolge überdurchschnittlicher Leistungsfähigkeit und Einsatzbereitschaft des Beschwerdeführers. Gutheissung der Beschwerde (Entscheid des Versicherungsgerichts des Kantons St. Gallen vom 16. September 2021, IV 2020/74).</w:t>
      </w:r>
    </w:p>
    <w:p>
      <w:pPr>
        <w:pStyle w:val="Heading2"/>
      </w:pPr>
      <w:r>
        <w:t>Erwägungen</w:t>
      </w:r>
    </w:p>
    <w:p>
      <w:r>
        <w:rPr>
          <w:b/>
        </w:rPr>
        <w:t>E. 4.1</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wird dem Beschwerdeführer zurückerstattet.</w:t>
      </w:r>
    </w:p>
    <w:p>
      <w:r>
        <w:rPr>
          <w:b/>
        </w:rPr>
        <w:t>E. 4.2</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Die Rechtsvertreterin des Beschwerdeführers hat keine Honorarnote eingereicht. In einem durchschnittlich aufwändigen IV-Rentenfall spricht das Versicherungsgericht neu eine pauschale Parteientschädigung von Fr. 4'000.-- zu. In einer Plenarsitzung vom 25. Mai 2021 haben die Versicherungsrichterinnen und Versicherungsrichter nämlich beschlossen, die durchschnittlichen Ansätze für die Parteientschädigungen um Fr. 500.-- zu erhöhen. Aus Praktikabilitätsgründen soll diese Praxisänderung sofort auf alle hängigen Fälle Anwendung finden. Diese Übergangsregelung führt dazu, dass die Beschwerdegegnerin einen Nachteil erleidet, denn sie hat nur deswegen eine um Fr. 500.-- höhere Parteientschädigung auszurichten, weil die Beschwerde erst nach dem Plenumsbeschluss vom 25. Mai 2021 beurteilt wird. Die Beschwerdegegnerin soll dies gemäss dem Beschluss des Richterplenums allerdings im Interesse der Praktikabilität in Kauf nehmen müssen. Der Vertretungsaufwand erweist sich durchschnittlich, deshalb besteht ein Anspruch auf eine Parteientschädigung von Fr. 4'000.-- (inkl. Barauslagen und Mehrwertsteuer). Entscheid im Zirkulationsverfahren gemäss Art. 39 VRP Die angefochtene Verfügung wird aufgehoben und dem Beschwerdeführer wird für die Zeit vom 1. Dezember 2016 bis zum 30. April 2019 eine ganze Invalidenrente zugesprochen; die Sache wird zur Festsetzung und Ausrichtung des Rentenbetrags an die Beschwerdegegnerin zurückgewiesen. Die Beschwerdegegnerin hat die Gerichtskosten von Fr. 600.-- zu bezahlen; der geleistete Kostenvorschuss ist dem Beschwerdeführer zurückzuerstatten.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